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520" w:rsidRPr="00E66520" w:rsidRDefault="00E66520" w:rsidP="00E66520">
      <w:pPr>
        <w:jc w:val="both"/>
        <w:rPr>
          <w:rFonts w:ascii="Verdana" w:hAnsi="Verdana"/>
          <w:b/>
          <w:sz w:val="22"/>
          <w:szCs w:val="22"/>
        </w:rPr>
      </w:pPr>
      <w:r w:rsidRPr="00E66520">
        <w:rPr>
          <w:rFonts w:ascii="Verdana" w:hAnsi="Verdana"/>
          <w:b/>
          <w:sz w:val="22"/>
          <w:szCs w:val="22"/>
        </w:rPr>
        <w:t xml:space="preserve">Tema 5. Poder Ejecutivo </w:t>
      </w:r>
    </w:p>
    <w:p w:rsidR="00E66520" w:rsidRPr="00E66520" w:rsidRDefault="00E66520" w:rsidP="00E66520">
      <w:pPr>
        <w:jc w:val="both"/>
        <w:rPr>
          <w:rFonts w:ascii="Verdana" w:hAnsi="Verdana"/>
          <w:b/>
          <w:sz w:val="22"/>
          <w:szCs w:val="22"/>
        </w:rPr>
      </w:pPr>
    </w:p>
    <w:p w:rsidR="00E66520" w:rsidRPr="00E66520" w:rsidRDefault="00E66520" w:rsidP="00E66520">
      <w:pPr>
        <w:jc w:val="both"/>
        <w:rPr>
          <w:rFonts w:ascii="Verdana" w:hAnsi="Verdana"/>
          <w:sz w:val="22"/>
          <w:szCs w:val="22"/>
        </w:rPr>
      </w:pPr>
      <w:r w:rsidRPr="00E66520">
        <w:rPr>
          <w:rFonts w:ascii="Verdana" w:hAnsi="Verdana"/>
          <w:sz w:val="22"/>
          <w:szCs w:val="22"/>
        </w:rPr>
        <w:t>El poder ejecutivo es considerado como administrador y ejecutor de la voluntad popular a la cual representa. Tiene entre sus tareas fortalecer la confianza ciudadana en la gestión pública mediante la formulación y evaluación de políticas en materia de transparencia, rendición de cuentas, cultura de la legalidad, integridad y participación ciudadana para el combate a la corrupción en las dependencias y entidades de la APF y en la Procuraduría General de la República.</w:t>
      </w:r>
    </w:p>
    <w:p w:rsidR="00E66520" w:rsidRPr="00E66520" w:rsidRDefault="00E66520" w:rsidP="00E66520">
      <w:pPr>
        <w:jc w:val="both"/>
        <w:rPr>
          <w:rFonts w:ascii="Verdana" w:hAnsi="Verdana"/>
          <w:sz w:val="22"/>
          <w:szCs w:val="22"/>
        </w:rPr>
      </w:pPr>
    </w:p>
    <w:p w:rsidR="00E66520" w:rsidRPr="00E66520" w:rsidRDefault="00E66520" w:rsidP="00E66520">
      <w:pPr>
        <w:jc w:val="both"/>
        <w:rPr>
          <w:rFonts w:ascii="Verdana" w:hAnsi="Verdana"/>
          <w:sz w:val="22"/>
          <w:szCs w:val="22"/>
        </w:rPr>
      </w:pPr>
      <w:r w:rsidRPr="00E66520">
        <w:rPr>
          <w:rFonts w:ascii="Verdana" w:hAnsi="Verdana"/>
          <w:sz w:val="22"/>
          <w:szCs w:val="22"/>
        </w:rPr>
        <w:t xml:space="preserve">En este apartado se revisará la estructura del Sistema Nacional de </w:t>
      </w:r>
      <w:commentRangeStart w:id="0"/>
      <w:r w:rsidRPr="00E66520">
        <w:rPr>
          <w:rFonts w:ascii="Verdana" w:hAnsi="Verdana"/>
          <w:sz w:val="22"/>
          <w:szCs w:val="22"/>
        </w:rPr>
        <w:t>Fiscalización</w:t>
      </w:r>
      <w:commentRangeEnd w:id="0"/>
      <w:r w:rsidRPr="00E66520">
        <w:rPr>
          <w:rFonts w:ascii="Verdana" w:hAnsi="Verdana" w:cs="Times New Roman"/>
          <w:bCs w:val="0"/>
          <w:sz w:val="22"/>
          <w:szCs w:val="22"/>
          <w:lang w:val="es-ES"/>
        </w:rPr>
        <w:commentReference w:id="0"/>
      </w:r>
      <w:r w:rsidRPr="00E66520">
        <w:rPr>
          <w:rFonts w:ascii="Verdana" w:hAnsi="Verdana"/>
          <w:sz w:val="22"/>
          <w:szCs w:val="22"/>
        </w:rPr>
        <w:t xml:space="preserve"> y las políticas públicas e iniciativas de ley para el combate a la corrupción </w:t>
      </w:r>
    </w:p>
    <w:p w:rsidR="00E66520" w:rsidRPr="00E66520" w:rsidRDefault="00E66520" w:rsidP="00E66520">
      <w:pPr>
        <w:jc w:val="both"/>
        <w:rPr>
          <w:rFonts w:ascii="Verdana" w:hAnsi="Verdana"/>
          <w:b/>
          <w:sz w:val="22"/>
          <w:szCs w:val="22"/>
        </w:rPr>
      </w:pPr>
    </w:p>
    <w:p w:rsidR="00E66520" w:rsidRPr="00E66520" w:rsidRDefault="00E66520" w:rsidP="00E66520">
      <w:pPr>
        <w:jc w:val="center"/>
        <w:rPr>
          <w:rFonts w:ascii="Verdana" w:hAnsi="Verdana"/>
          <w:b/>
          <w:sz w:val="22"/>
          <w:szCs w:val="22"/>
        </w:rPr>
      </w:pPr>
      <w:r>
        <w:rPr>
          <w:rFonts w:ascii="Verdana" w:hAnsi="Verdana"/>
          <w:b/>
          <w:noProof/>
          <w:sz w:val="22"/>
          <w:szCs w:val="22"/>
          <w:lang w:eastAsia="es-MX"/>
        </w:rPr>
        <w:drawing>
          <wp:inline distT="0" distB="0" distL="0" distR="0">
            <wp:extent cx="5486400" cy="3248025"/>
            <wp:effectExtent l="0" t="0" r="0" b="0"/>
            <wp:docPr id="39" name="Imagen 39" descr="PODER EJECUTIV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ODER EJECUTIV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3248025"/>
                    </a:xfrm>
                    <a:prstGeom prst="rect">
                      <a:avLst/>
                    </a:prstGeom>
                    <a:noFill/>
                    <a:ln>
                      <a:noFill/>
                    </a:ln>
                  </pic:spPr>
                </pic:pic>
              </a:graphicData>
            </a:graphic>
          </wp:inline>
        </w:drawing>
      </w:r>
    </w:p>
    <w:p w:rsidR="00E66520" w:rsidRPr="00E66520" w:rsidRDefault="00E66520" w:rsidP="00E66520">
      <w:pPr>
        <w:jc w:val="both"/>
        <w:rPr>
          <w:rFonts w:ascii="Verdana" w:hAnsi="Verdana"/>
          <w:b/>
          <w:sz w:val="16"/>
          <w:szCs w:val="16"/>
        </w:rPr>
      </w:pPr>
    </w:p>
    <w:p w:rsidR="00E66520" w:rsidRPr="00E66520" w:rsidRDefault="00E66520" w:rsidP="00E66520">
      <w:pPr>
        <w:jc w:val="both"/>
        <w:rPr>
          <w:rFonts w:ascii="Verdana" w:hAnsi="Verdana"/>
          <w:sz w:val="22"/>
          <w:szCs w:val="22"/>
          <w:lang w:val="es-ES"/>
        </w:rPr>
      </w:pPr>
      <w:r w:rsidRPr="00E66520">
        <w:rPr>
          <w:rFonts w:ascii="Verdana" w:hAnsi="Verdana"/>
          <w:sz w:val="22"/>
          <w:szCs w:val="22"/>
          <w:lang w:val="es-ES"/>
        </w:rPr>
        <w:t xml:space="preserve">Actualmente, las funciones anticorrupción del país están repartidas entre diferentes órganos. En tanto se concreten los esfuerzos para integrar la Comisión Nacional Anticorrupción y un </w:t>
      </w:r>
      <w:r w:rsidRPr="00E66520">
        <w:rPr>
          <w:rFonts w:ascii="Verdana" w:hAnsi="Verdana"/>
          <w:b/>
          <w:sz w:val="22"/>
          <w:szCs w:val="22"/>
          <w:lang w:val="es-ES"/>
        </w:rPr>
        <w:t>Sistema Nacional de Transparencia, Rendición de Cuentas y Combate a la Corrupción</w:t>
      </w:r>
      <w:r w:rsidRPr="00E66520">
        <w:rPr>
          <w:rFonts w:ascii="Verdana" w:hAnsi="Verdana"/>
          <w:sz w:val="22"/>
          <w:szCs w:val="22"/>
          <w:lang w:val="es-ES"/>
        </w:rPr>
        <w:t>, la fiscalización y el control administrativo interno en la esfera del Poder Ejecutivo la realizan la Secretaría de la Función Pública y la Secretaría de Hacienda y Crédito Público.</w:t>
      </w:r>
    </w:p>
    <w:p w:rsidR="00E66520" w:rsidRPr="00E66520" w:rsidRDefault="00E66520" w:rsidP="00E66520">
      <w:pPr>
        <w:ind w:firstLine="34"/>
        <w:jc w:val="both"/>
        <w:rPr>
          <w:rFonts w:ascii="Verdana" w:hAnsi="Verdana"/>
          <w:sz w:val="22"/>
          <w:szCs w:val="22"/>
          <w:lang w:val="es-ES"/>
        </w:rPr>
      </w:pPr>
    </w:p>
    <w:p w:rsidR="00E66520" w:rsidRPr="00E66520" w:rsidRDefault="00E66520" w:rsidP="00E66520">
      <w:pPr>
        <w:ind w:firstLine="34"/>
        <w:jc w:val="both"/>
        <w:rPr>
          <w:rFonts w:ascii="Verdana" w:hAnsi="Verdana"/>
          <w:sz w:val="22"/>
          <w:szCs w:val="22"/>
          <w:lang w:val="es-ES"/>
        </w:rPr>
      </w:pPr>
    </w:p>
    <w:p w:rsidR="00E66520" w:rsidRPr="00E66520" w:rsidRDefault="00E66520" w:rsidP="00E66520">
      <w:pPr>
        <w:ind w:firstLine="34"/>
        <w:jc w:val="center"/>
        <w:rPr>
          <w:rFonts w:ascii="Verdana" w:hAnsi="Verdana"/>
          <w:sz w:val="22"/>
          <w:szCs w:val="22"/>
        </w:rPr>
      </w:pPr>
      <w:r>
        <w:rPr>
          <w:rFonts w:ascii="Verdana" w:hAnsi="Verdana"/>
          <w:noProof/>
          <w:sz w:val="22"/>
          <w:szCs w:val="22"/>
          <w:lang w:eastAsia="es-MX"/>
        </w:rPr>
        <w:lastRenderedPageBreak/>
        <w:drawing>
          <wp:inline distT="0" distB="0" distL="0" distR="0">
            <wp:extent cx="6000750" cy="4495800"/>
            <wp:effectExtent l="0" t="0" r="0" b="0"/>
            <wp:docPr id="38" name="Imagen 38" descr="Estructura de instituciones de control anticorrupción en Méx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Estructura de instituciones de control anticorrupción en Méxic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0750" cy="4495800"/>
                    </a:xfrm>
                    <a:prstGeom prst="rect">
                      <a:avLst/>
                    </a:prstGeom>
                    <a:noFill/>
                    <a:ln>
                      <a:noFill/>
                    </a:ln>
                  </pic:spPr>
                </pic:pic>
              </a:graphicData>
            </a:graphic>
          </wp:inline>
        </w:drawing>
      </w:r>
    </w:p>
    <w:p w:rsidR="00E66520" w:rsidRPr="00E66520" w:rsidRDefault="00E66520" w:rsidP="00E66520">
      <w:pPr>
        <w:ind w:firstLine="34"/>
        <w:jc w:val="center"/>
        <w:rPr>
          <w:rFonts w:ascii="Verdana" w:hAnsi="Verdana"/>
          <w:sz w:val="16"/>
          <w:szCs w:val="16"/>
        </w:rPr>
      </w:pPr>
      <w:r w:rsidRPr="00E66520">
        <w:rPr>
          <w:rFonts w:ascii="Verdana" w:hAnsi="Verdana"/>
          <w:sz w:val="16"/>
          <w:szCs w:val="16"/>
        </w:rPr>
        <w:t>Fuente: Jaime, E., Avendaño, E., García, M. Rendición de cuentas y combate a la corrupción:</w:t>
      </w:r>
    </w:p>
    <w:p w:rsidR="00E66520" w:rsidRPr="00E66520" w:rsidRDefault="00E66520" w:rsidP="00E66520">
      <w:pPr>
        <w:ind w:firstLine="34"/>
        <w:jc w:val="center"/>
        <w:rPr>
          <w:rFonts w:ascii="Verdana" w:hAnsi="Verdana"/>
          <w:sz w:val="16"/>
          <w:szCs w:val="16"/>
          <w:lang w:val="es-ES"/>
        </w:rPr>
      </w:pPr>
      <w:r w:rsidRPr="00E66520">
        <w:rPr>
          <w:rFonts w:ascii="Verdana" w:hAnsi="Verdana"/>
          <w:sz w:val="16"/>
          <w:szCs w:val="16"/>
        </w:rPr>
        <w:t>Retos y Desafíos. México, Secretaría de la Función Pública. Cuadernos sobre rendición de cuentas N° 6</w:t>
      </w:r>
    </w:p>
    <w:p w:rsidR="00E66520" w:rsidRPr="00E66520" w:rsidRDefault="00E66520" w:rsidP="00E66520">
      <w:pPr>
        <w:jc w:val="both"/>
        <w:rPr>
          <w:rFonts w:ascii="Verdana" w:hAnsi="Verdana"/>
          <w:sz w:val="22"/>
          <w:szCs w:val="22"/>
        </w:rPr>
      </w:pPr>
    </w:p>
    <w:p w:rsidR="00E66520" w:rsidRPr="00E66520" w:rsidRDefault="00E66520" w:rsidP="00E66520">
      <w:pPr>
        <w:jc w:val="both"/>
        <w:rPr>
          <w:rFonts w:ascii="Verdana" w:hAnsi="Verdana"/>
          <w:sz w:val="22"/>
          <w:szCs w:val="22"/>
        </w:rPr>
      </w:pPr>
    </w:p>
    <w:p w:rsidR="00E66520" w:rsidRPr="00E66520" w:rsidRDefault="00E66520" w:rsidP="00E66520">
      <w:pPr>
        <w:jc w:val="both"/>
        <w:rPr>
          <w:rFonts w:ascii="Verdana" w:hAnsi="Verdana"/>
          <w:sz w:val="22"/>
          <w:szCs w:val="22"/>
        </w:rPr>
      </w:pPr>
      <w:r w:rsidRPr="00E66520">
        <w:rPr>
          <w:rFonts w:ascii="Verdana" w:hAnsi="Verdana"/>
          <w:sz w:val="22"/>
          <w:szCs w:val="22"/>
        </w:rPr>
        <w:t xml:space="preserve">La Secretaría de Hacienda y Crédito Público controla la gestión financiera y fiscal de las dependencias federales. La principal labor de esta Secretaría se desarrolla en el ámbito del control de la gestión pública, pues está a cargo de establecer normas y lineamientos para el uso cabal de los recursos públicos federales. </w:t>
      </w:r>
    </w:p>
    <w:p w:rsidR="00E66520" w:rsidRPr="00E66520" w:rsidRDefault="00E66520" w:rsidP="00E66520">
      <w:pPr>
        <w:jc w:val="both"/>
        <w:rPr>
          <w:rFonts w:ascii="Verdana" w:hAnsi="Verdana"/>
          <w:sz w:val="22"/>
          <w:szCs w:val="22"/>
        </w:rPr>
      </w:pPr>
    </w:p>
    <w:p w:rsidR="00E66520" w:rsidRPr="00E66520" w:rsidRDefault="00E66520" w:rsidP="00E66520">
      <w:pPr>
        <w:jc w:val="both"/>
        <w:rPr>
          <w:rFonts w:ascii="Verdana" w:hAnsi="Verdana"/>
          <w:sz w:val="22"/>
          <w:szCs w:val="22"/>
        </w:rPr>
      </w:pPr>
      <w:r w:rsidRPr="00E66520">
        <w:rPr>
          <w:rFonts w:ascii="Verdana" w:hAnsi="Verdana"/>
          <w:sz w:val="22"/>
          <w:szCs w:val="22"/>
        </w:rPr>
        <w:t>En los últimos años registra un papel clave en la exigencia de las obligaciones de transparencia —en el tema presupuestal— y de rendición de cuentas de la administración pública mediante solicitudes de informes de labores y de gestión financiera, así como de la realización de evaluaciones sobre la efectividad de la acción pública.</w:t>
      </w:r>
    </w:p>
    <w:p w:rsidR="00E66520" w:rsidRPr="00E66520" w:rsidRDefault="00E66520" w:rsidP="00E66520">
      <w:pPr>
        <w:jc w:val="both"/>
        <w:rPr>
          <w:rFonts w:ascii="Verdana" w:hAnsi="Verdana"/>
          <w:sz w:val="22"/>
          <w:szCs w:val="22"/>
        </w:rPr>
      </w:pPr>
    </w:p>
    <w:p w:rsidR="00E66520" w:rsidRPr="00E66520" w:rsidRDefault="00E66520" w:rsidP="00E66520">
      <w:pPr>
        <w:jc w:val="both"/>
        <w:rPr>
          <w:rFonts w:ascii="Verdana" w:hAnsi="Verdana"/>
          <w:sz w:val="22"/>
          <w:szCs w:val="22"/>
        </w:rPr>
      </w:pPr>
      <w:r w:rsidRPr="00E66520">
        <w:rPr>
          <w:rFonts w:ascii="Verdana" w:hAnsi="Verdana"/>
          <w:sz w:val="22"/>
          <w:szCs w:val="22"/>
          <w:lang w:val="es-ES"/>
        </w:rPr>
        <w:t xml:space="preserve">En esta última función comparte responsabilidad con la Secretaría de la Función Pública, que también coordina el monitoreo y la evaluación de las dependencias y programas gubernamentales. </w:t>
      </w:r>
      <w:r w:rsidRPr="00E66520">
        <w:rPr>
          <w:rFonts w:ascii="Verdana" w:hAnsi="Verdana"/>
          <w:sz w:val="22"/>
          <w:szCs w:val="22"/>
        </w:rPr>
        <w:t xml:space="preserve">La SPF está facultada para ejercer las tres funciones anticorrupción de la Administración Pública Federal. Su labor la conduce a través de los Órganos Internos de Control. Se enfoca en la administración, control y gestión de los recursos humanos, compras </w:t>
      </w:r>
      <w:r w:rsidRPr="00E66520">
        <w:rPr>
          <w:rFonts w:ascii="Verdana" w:hAnsi="Verdana"/>
          <w:sz w:val="22"/>
          <w:szCs w:val="22"/>
        </w:rPr>
        <w:lastRenderedPageBreak/>
        <w:t xml:space="preserve">públicas, recursos financieros y la entrega de bienes y servicios públicos definidos por cada programa gubernamental. </w:t>
      </w:r>
    </w:p>
    <w:p w:rsidR="00E66520" w:rsidRPr="00E66520" w:rsidRDefault="00E66520" w:rsidP="00E66520">
      <w:pPr>
        <w:jc w:val="both"/>
        <w:rPr>
          <w:rFonts w:ascii="Verdana" w:hAnsi="Verdana"/>
          <w:sz w:val="22"/>
          <w:szCs w:val="22"/>
        </w:rPr>
      </w:pPr>
    </w:p>
    <w:p w:rsidR="00E66520" w:rsidRPr="00E66520" w:rsidRDefault="00E66520" w:rsidP="00E66520">
      <w:pPr>
        <w:jc w:val="both"/>
        <w:rPr>
          <w:rFonts w:ascii="Verdana" w:hAnsi="Verdana"/>
          <w:sz w:val="22"/>
          <w:szCs w:val="22"/>
        </w:rPr>
      </w:pPr>
      <w:r w:rsidRPr="00E66520">
        <w:rPr>
          <w:rFonts w:ascii="Verdana" w:hAnsi="Verdana"/>
          <w:sz w:val="22"/>
          <w:szCs w:val="22"/>
        </w:rPr>
        <w:t>Para realizar estas funciones, la institución cuenta con un marco legal que le permite:</w:t>
      </w:r>
    </w:p>
    <w:p w:rsidR="00E66520" w:rsidRPr="00E66520" w:rsidRDefault="00E66520" w:rsidP="00E66520">
      <w:pPr>
        <w:jc w:val="both"/>
        <w:rPr>
          <w:rFonts w:ascii="Verdana" w:hAnsi="Verdana"/>
          <w:sz w:val="22"/>
          <w:szCs w:val="22"/>
        </w:rPr>
      </w:pPr>
    </w:p>
    <w:p w:rsidR="00E66520" w:rsidRPr="00E66520" w:rsidRDefault="00E66520" w:rsidP="00E66520">
      <w:pPr>
        <w:numPr>
          <w:ilvl w:val="0"/>
          <w:numId w:val="3"/>
        </w:numPr>
        <w:jc w:val="both"/>
        <w:rPr>
          <w:rFonts w:ascii="Verdana" w:hAnsi="Verdana"/>
          <w:sz w:val="22"/>
          <w:szCs w:val="22"/>
        </w:rPr>
      </w:pPr>
      <w:r w:rsidRPr="00E66520">
        <w:rPr>
          <w:rFonts w:ascii="Verdana" w:hAnsi="Verdana"/>
          <w:sz w:val="22"/>
          <w:szCs w:val="22"/>
        </w:rPr>
        <w:t xml:space="preserve">regular la contratación de funcionarios públicos, compras gubernamentales y gestión financiera, </w:t>
      </w:r>
    </w:p>
    <w:p w:rsidR="00E66520" w:rsidRPr="00E66520" w:rsidRDefault="00E66520" w:rsidP="00E66520">
      <w:pPr>
        <w:numPr>
          <w:ilvl w:val="0"/>
          <w:numId w:val="3"/>
        </w:numPr>
        <w:jc w:val="both"/>
        <w:rPr>
          <w:rFonts w:ascii="Verdana" w:hAnsi="Verdana"/>
          <w:sz w:val="22"/>
          <w:szCs w:val="22"/>
        </w:rPr>
      </w:pPr>
      <w:r w:rsidRPr="00E66520">
        <w:rPr>
          <w:rFonts w:ascii="Verdana" w:hAnsi="Verdana"/>
          <w:sz w:val="22"/>
          <w:szCs w:val="22"/>
        </w:rPr>
        <w:t xml:space="preserve">establecer métodos de profesionalización, </w:t>
      </w:r>
    </w:p>
    <w:p w:rsidR="00E66520" w:rsidRPr="00E66520" w:rsidRDefault="00E66520" w:rsidP="00E66520">
      <w:pPr>
        <w:numPr>
          <w:ilvl w:val="0"/>
          <w:numId w:val="3"/>
        </w:numPr>
        <w:jc w:val="both"/>
        <w:rPr>
          <w:rFonts w:ascii="Verdana" w:hAnsi="Verdana"/>
          <w:sz w:val="22"/>
          <w:szCs w:val="22"/>
        </w:rPr>
      </w:pPr>
      <w:r w:rsidRPr="00E66520">
        <w:rPr>
          <w:rFonts w:ascii="Verdana" w:hAnsi="Verdana"/>
          <w:sz w:val="22"/>
          <w:szCs w:val="22"/>
        </w:rPr>
        <w:t xml:space="preserve">definir obligaciones de transparencia en cuanto a la situación patrimonial de los funcionarios. </w:t>
      </w:r>
    </w:p>
    <w:p w:rsidR="00E66520" w:rsidRPr="00E66520" w:rsidRDefault="00E66520" w:rsidP="00E66520">
      <w:pPr>
        <w:jc w:val="both"/>
        <w:rPr>
          <w:rFonts w:ascii="Verdana" w:hAnsi="Verdana"/>
          <w:sz w:val="22"/>
          <w:szCs w:val="22"/>
        </w:rPr>
      </w:pPr>
    </w:p>
    <w:p w:rsidR="00E66520" w:rsidRPr="00E66520" w:rsidRDefault="00E66520" w:rsidP="00E66520">
      <w:pPr>
        <w:jc w:val="both"/>
        <w:rPr>
          <w:rFonts w:ascii="Verdana" w:hAnsi="Verdana"/>
          <w:sz w:val="22"/>
          <w:szCs w:val="22"/>
        </w:rPr>
      </w:pPr>
      <w:r w:rsidRPr="00E66520">
        <w:rPr>
          <w:rFonts w:ascii="Verdana" w:hAnsi="Verdana"/>
          <w:sz w:val="22"/>
          <w:szCs w:val="22"/>
        </w:rPr>
        <w:t>Dentro de las tareas de prevención implementa programas de mejora de la gestión, procesos de auditorías y esquemas de fiscalización, obligaciones de transparencia, así como el establecimiento de sanciones (sólo administrativas).</w:t>
      </w:r>
    </w:p>
    <w:p w:rsidR="00E66520" w:rsidRPr="00E66520" w:rsidRDefault="00E66520" w:rsidP="00E66520">
      <w:pPr>
        <w:ind w:firstLine="34"/>
        <w:jc w:val="both"/>
        <w:rPr>
          <w:rFonts w:ascii="Verdana" w:hAnsi="Verdana"/>
          <w:sz w:val="22"/>
          <w:szCs w:val="22"/>
        </w:rPr>
      </w:pPr>
    </w:p>
    <w:p w:rsidR="00E66520" w:rsidRPr="00E66520" w:rsidRDefault="00E66520" w:rsidP="00E66520">
      <w:pPr>
        <w:ind w:firstLine="34"/>
        <w:jc w:val="center"/>
        <w:rPr>
          <w:rFonts w:ascii="Verdana" w:hAnsi="Verdana"/>
          <w:sz w:val="22"/>
          <w:szCs w:val="22"/>
        </w:rPr>
      </w:pPr>
      <w:r>
        <w:rPr>
          <w:rFonts w:ascii="Verdana" w:hAnsi="Verdana"/>
          <w:noProof/>
          <w:sz w:val="22"/>
          <w:szCs w:val="22"/>
          <w:lang w:eastAsia="es-MX"/>
        </w:rPr>
        <w:drawing>
          <wp:inline distT="0" distB="0" distL="0" distR="0">
            <wp:extent cx="2409825" cy="1581150"/>
            <wp:effectExtent l="0" t="0" r="9525" b="0"/>
            <wp:docPr id="37" name="Imagen 3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9825" cy="1581150"/>
                    </a:xfrm>
                    <a:prstGeom prst="rect">
                      <a:avLst/>
                    </a:prstGeom>
                    <a:noFill/>
                    <a:ln>
                      <a:noFill/>
                    </a:ln>
                  </pic:spPr>
                </pic:pic>
              </a:graphicData>
            </a:graphic>
          </wp:inline>
        </w:drawing>
      </w:r>
    </w:p>
    <w:p w:rsidR="00E66520" w:rsidRPr="00E66520" w:rsidRDefault="00E66520" w:rsidP="00E66520">
      <w:pPr>
        <w:ind w:firstLine="34"/>
        <w:jc w:val="center"/>
        <w:rPr>
          <w:rFonts w:ascii="Verdana" w:hAnsi="Verdana"/>
          <w:sz w:val="16"/>
          <w:szCs w:val="16"/>
        </w:rPr>
      </w:pPr>
      <w:r w:rsidRPr="00E66520">
        <w:rPr>
          <w:rFonts w:ascii="Verdana" w:hAnsi="Verdana"/>
          <w:sz w:val="16"/>
          <w:szCs w:val="16"/>
        </w:rPr>
        <w:t>(2012) [dibujo]. Tomado de: http://prepa99equipo8.blogspot.mx/</w:t>
      </w:r>
    </w:p>
    <w:p w:rsidR="00E66520" w:rsidRPr="00E66520" w:rsidRDefault="00E66520" w:rsidP="00E66520">
      <w:pPr>
        <w:ind w:firstLine="34"/>
        <w:jc w:val="center"/>
        <w:rPr>
          <w:rFonts w:ascii="Verdana" w:hAnsi="Verdana"/>
          <w:sz w:val="16"/>
          <w:szCs w:val="16"/>
        </w:rPr>
      </w:pPr>
    </w:p>
    <w:p w:rsidR="00E66520" w:rsidRPr="00E66520" w:rsidRDefault="00E66520" w:rsidP="00E66520">
      <w:pPr>
        <w:jc w:val="both"/>
        <w:rPr>
          <w:rFonts w:ascii="Verdana" w:hAnsi="Verdana"/>
          <w:sz w:val="22"/>
          <w:szCs w:val="22"/>
          <w:lang w:val="es-ES"/>
        </w:rPr>
      </w:pPr>
    </w:p>
    <w:p w:rsidR="00E66520" w:rsidRPr="00E66520" w:rsidRDefault="00E66520" w:rsidP="00E66520">
      <w:pPr>
        <w:ind w:firstLine="34"/>
        <w:jc w:val="both"/>
        <w:rPr>
          <w:rFonts w:ascii="Verdana" w:hAnsi="Verdana"/>
          <w:b/>
          <w:sz w:val="22"/>
          <w:szCs w:val="22"/>
        </w:rPr>
      </w:pPr>
      <w:r w:rsidRPr="00E66520">
        <w:rPr>
          <w:rFonts w:ascii="Verdana" w:hAnsi="Verdana"/>
          <w:b/>
          <w:sz w:val="22"/>
          <w:szCs w:val="22"/>
        </w:rPr>
        <w:t>5.1. Sistema Nacional de Fiscalización</w:t>
      </w:r>
      <w:commentRangeStart w:id="1"/>
      <w:r w:rsidRPr="00E66520">
        <w:rPr>
          <w:rFonts w:ascii="Verdana" w:hAnsi="Verdana"/>
          <w:b/>
          <w:sz w:val="22"/>
          <w:szCs w:val="22"/>
        </w:rPr>
        <w:t xml:space="preserve"> </w:t>
      </w:r>
      <w:commentRangeEnd w:id="1"/>
      <w:r w:rsidRPr="00E66520">
        <w:rPr>
          <w:rFonts w:ascii="Times New Roman" w:hAnsi="Times New Roman" w:cs="Times New Roman"/>
          <w:bCs w:val="0"/>
          <w:sz w:val="16"/>
          <w:szCs w:val="16"/>
          <w:lang w:val="es-ES"/>
        </w:rPr>
        <w:commentReference w:id="1"/>
      </w:r>
    </w:p>
    <w:p w:rsidR="00E66520" w:rsidRPr="00E66520" w:rsidRDefault="00E66520" w:rsidP="00E66520">
      <w:pPr>
        <w:jc w:val="both"/>
        <w:rPr>
          <w:rFonts w:ascii="Verdana" w:hAnsi="Verdana"/>
          <w:sz w:val="22"/>
          <w:szCs w:val="22"/>
        </w:rPr>
      </w:pPr>
    </w:p>
    <w:p w:rsidR="00E66520" w:rsidRPr="00E66520" w:rsidRDefault="00E66520" w:rsidP="00E66520">
      <w:pPr>
        <w:jc w:val="both"/>
        <w:rPr>
          <w:rFonts w:ascii="Verdana" w:hAnsi="Verdana"/>
          <w:sz w:val="22"/>
          <w:szCs w:val="22"/>
          <w:lang w:val="es-ES"/>
        </w:rPr>
      </w:pPr>
      <w:r w:rsidRPr="00E66520">
        <w:rPr>
          <w:rFonts w:ascii="Verdana" w:hAnsi="Verdana"/>
          <w:sz w:val="22"/>
          <w:szCs w:val="22"/>
        </w:rPr>
        <w:t xml:space="preserve">“El </w:t>
      </w:r>
      <w:r w:rsidRPr="00E66520">
        <w:rPr>
          <w:rFonts w:ascii="Verdana" w:hAnsi="Verdana"/>
          <w:b/>
          <w:sz w:val="22"/>
          <w:szCs w:val="22"/>
        </w:rPr>
        <w:t xml:space="preserve">Sistema Nacional de Fiscalización (SNF) </w:t>
      </w:r>
      <w:r w:rsidRPr="00E66520">
        <w:rPr>
          <w:rFonts w:ascii="Verdana" w:hAnsi="Verdana"/>
          <w:sz w:val="22"/>
          <w:szCs w:val="22"/>
        </w:rPr>
        <w:t>es un conjunto de principios y actividades estructurados y vinculados entre sí, que buscan establecer un ambiente de coordinación efectiva entre todos los órganos gubernamentales de fiscalización en el país con el fin de trabajar, en lo posible, bajo una misma visión profesional, con las mismas normas profesionales, valores éticos y capacidades técnicas, y así garantizar a la ciudadanía que la revisión al uso de los recursos públicos se hará de una manera más ordenada, sistemática e integral. Asimismo, se busca generar las condiciones e incentivos para que la auditoría gubernamental contribuya al fortalecimiento de la rendición de cuentas a nivel nacional” (Bases generales de coordinación para promover el desarrollo del Sistema Nacional de Fiscalización. SFP, ASF CPCE-F, ASOFIS, 2012, p. 1)</w:t>
      </w:r>
    </w:p>
    <w:p w:rsidR="00E66520" w:rsidRPr="00E66520" w:rsidRDefault="00E66520" w:rsidP="00E66520">
      <w:pPr>
        <w:jc w:val="both"/>
        <w:rPr>
          <w:rFonts w:ascii="Verdana" w:hAnsi="Verdana"/>
          <w:sz w:val="22"/>
          <w:szCs w:val="22"/>
          <w:lang w:val="es-ES"/>
        </w:rPr>
      </w:pPr>
    </w:p>
    <w:p w:rsidR="00E66520" w:rsidRPr="00E66520" w:rsidRDefault="00E66520" w:rsidP="00E66520">
      <w:pPr>
        <w:jc w:val="both"/>
        <w:rPr>
          <w:rFonts w:ascii="Verdana" w:hAnsi="Verdana"/>
          <w:sz w:val="22"/>
          <w:szCs w:val="22"/>
        </w:rPr>
      </w:pPr>
      <w:r w:rsidRPr="00E66520">
        <w:rPr>
          <w:rFonts w:ascii="Verdana" w:hAnsi="Verdana"/>
          <w:sz w:val="22"/>
          <w:szCs w:val="22"/>
        </w:rPr>
        <w:t xml:space="preserve">El sistema incorpora a todos aquellos órganos que realizan actividades de auditoría gubernamental o fiscalización (interna o externa) e independientemente del Poder en el que estén encuadrado–Ejecutivo, Legislativo o Judicial–, o el orden de gobierno al que correspondan –federal, estatal o municipal–. Esto implica que el SNF incluye a los órganos internos de </w:t>
      </w:r>
      <w:r w:rsidRPr="00E66520">
        <w:rPr>
          <w:rFonts w:ascii="Verdana" w:hAnsi="Verdana"/>
          <w:sz w:val="22"/>
          <w:szCs w:val="22"/>
        </w:rPr>
        <w:lastRenderedPageBreak/>
        <w:t xml:space="preserve">control de los organismos constitucionalmente autónomos, así como de las representaciones de los síndicos y contralores municipales. </w:t>
      </w:r>
    </w:p>
    <w:p w:rsidR="00E66520" w:rsidRPr="00E66520" w:rsidRDefault="00E66520" w:rsidP="00E66520">
      <w:pPr>
        <w:ind w:firstLine="34"/>
        <w:jc w:val="both"/>
        <w:rPr>
          <w:rFonts w:ascii="Verdana" w:hAnsi="Verdana"/>
          <w:sz w:val="22"/>
          <w:szCs w:val="22"/>
        </w:rPr>
      </w:pPr>
    </w:p>
    <w:p w:rsidR="00E66520" w:rsidRPr="00E66520" w:rsidRDefault="00E66520" w:rsidP="00E66520">
      <w:pPr>
        <w:ind w:firstLine="34"/>
        <w:jc w:val="both"/>
        <w:rPr>
          <w:rFonts w:ascii="Verdana" w:hAnsi="Verdana"/>
          <w:sz w:val="22"/>
          <w:szCs w:val="22"/>
        </w:rPr>
      </w:pPr>
    </w:p>
    <w:p w:rsidR="00E66520" w:rsidRPr="00E66520" w:rsidRDefault="00E66520" w:rsidP="00E66520">
      <w:pPr>
        <w:jc w:val="both"/>
        <w:rPr>
          <w:rFonts w:ascii="Verdana" w:hAnsi="Verdana"/>
          <w:sz w:val="22"/>
          <w:szCs w:val="22"/>
          <w:u w:val="single"/>
          <w:lang w:val="es-ES"/>
        </w:rPr>
      </w:pPr>
      <w:r w:rsidRPr="00E66520">
        <w:rPr>
          <w:rFonts w:ascii="Verdana" w:hAnsi="Verdana"/>
          <w:sz w:val="22"/>
          <w:szCs w:val="22"/>
          <w:u w:val="single"/>
          <w:lang w:val="es-ES"/>
        </w:rPr>
        <w:t>Normativa en materia de Control Interno</w:t>
      </w:r>
    </w:p>
    <w:p w:rsidR="00E66520" w:rsidRPr="00E66520" w:rsidRDefault="00E66520" w:rsidP="00E66520">
      <w:pPr>
        <w:jc w:val="both"/>
        <w:rPr>
          <w:rFonts w:ascii="Verdana" w:hAnsi="Verdana"/>
          <w:sz w:val="22"/>
          <w:szCs w:val="22"/>
          <w:lang w:val="es-ES"/>
        </w:rPr>
      </w:pPr>
    </w:p>
    <w:p w:rsidR="00E66520" w:rsidRPr="00E66520" w:rsidRDefault="00E66520" w:rsidP="00E66520">
      <w:pPr>
        <w:jc w:val="both"/>
        <w:rPr>
          <w:rFonts w:ascii="Verdana" w:hAnsi="Verdana"/>
          <w:sz w:val="22"/>
          <w:szCs w:val="22"/>
          <w:lang w:val="es-ES"/>
        </w:rPr>
      </w:pPr>
      <w:r w:rsidRPr="00E66520">
        <w:rPr>
          <w:rFonts w:ascii="Verdana" w:hAnsi="Verdana"/>
          <w:sz w:val="22"/>
          <w:szCs w:val="22"/>
          <w:lang w:val="es-ES"/>
        </w:rPr>
        <w:t>La normativa aplicable en materia de control interno en la Administración Pública Federal y la PGR es el “Acuerdo por el que se emiten las Disposiciones en Materia de Control Interno y se expide el Manual Administrativo de Aplicación General en Materia de Control Interno” 6/ (Acuerdo de Control Interno), emitido por la Secretaría de la Función Pública (SFP), el cual tiene por objeto “...normar la implementación, actualización, supervisión, seguimiento, control y vigilancia del Sistema de Control Interno Institucional en las dependencias y entidades de la Administración Pública Federal y en la Procuraduría General de la República”.</w:t>
      </w:r>
    </w:p>
    <w:p w:rsidR="00E66520" w:rsidRPr="00E66520" w:rsidRDefault="00E66520" w:rsidP="00E66520">
      <w:pPr>
        <w:ind w:firstLine="34"/>
        <w:jc w:val="both"/>
        <w:rPr>
          <w:rFonts w:ascii="Verdana" w:hAnsi="Verdana"/>
          <w:sz w:val="22"/>
          <w:szCs w:val="22"/>
          <w:lang w:val="es-ES"/>
        </w:rPr>
      </w:pPr>
    </w:p>
    <w:p w:rsidR="00E66520" w:rsidRPr="00E66520" w:rsidRDefault="00E66520" w:rsidP="00E66520">
      <w:pPr>
        <w:ind w:firstLine="34"/>
        <w:jc w:val="center"/>
        <w:rPr>
          <w:rFonts w:ascii="Verdana" w:hAnsi="Verdana"/>
          <w:sz w:val="22"/>
          <w:szCs w:val="22"/>
        </w:rPr>
      </w:pPr>
      <w:r>
        <w:rPr>
          <w:rFonts w:ascii="Verdana" w:hAnsi="Verdana"/>
          <w:noProof/>
          <w:sz w:val="22"/>
          <w:szCs w:val="22"/>
          <w:lang w:eastAsia="es-MX"/>
        </w:rPr>
        <w:drawing>
          <wp:inline distT="0" distB="0" distL="0" distR="0">
            <wp:extent cx="2171700" cy="1714500"/>
            <wp:effectExtent l="0" t="0" r="0" b="0"/>
            <wp:docPr id="36" name="Imagen 36" descr="earthinh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earthinhan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1700" cy="1714500"/>
                    </a:xfrm>
                    <a:prstGeom prst="rect">
                      <a:avLst/>
                    </a:prstGeom>
                    <a:noFill/>
                    <a:ln>
                      <a:noFill/>
                    </a:ln>
                  </pic:spPr>
                </pic:pic>
              </a:graphicData>
            </a:graphic>
          </wp:inline>
        </w:drawing>
      </w:r>
    </w:p>
    <w:p w:rsidR="00E66520" w:rsidRPr="00E66520" w:rsidRDefault="00E66520" w:rsidP="00E66520">
      <w:pPr>
        <w:ind w:firstLine="34"/>
        <w:jc w:val="center"/>
        <w:rPr>
          <w:rFonts w:ascii="Verdana" w:hAnsi="Verdana"/>
          <w:sz w:val="16"/>
          <w:szCs w:val="16"/>
        </w:rPr>
      </w:pPr>
      <w:r w:rsidRPr="00E66520">
        <w:rPr>
          <w:rFonts w:ascii="Verdana" w:hAnsi="Verdana"/>
          <w:sz w:val="16"/>
          <w:szCs w:val="16"/>
        </w:rPr>
        <w:t xml:space="preserve">(2014) [ilustración]. </w:t>
      </w:r>
    </w:p>
    <w:p w:rsidR="00E66520" w:rsidRPr="00E66520" w:rsidRDefault="00E66520" w:rsidP="00E66520">
      <w:pPr>
        <w:ind w:firstLine="34"/>
        <w:jc w:val="center"/>
        <w:rPr>
          <w:rFonts w:ascii="Verdana" w:hAnsi="Verdana"/>
          <w:sz w:val="16"/>
          <w:szCs w:val="16"/>
          <w:lang w:val="es-ES"/>
        </w:rPr>
      </w:pPr>
      <w:r w:rsidRPr="00E66520">
        <w:rPr>
          <w:rFonts w:ascii="Verdana" w:hAnsi="Verdana"/>
          <w:sz w:val="16"/>
          <w:szCs w:val="16"/>
        </w:rPr>
        <w:t>Tomada de: http://despiertaalfuturo.blogspot.mx/2014/07/el-organismo-financiero-mas-poderoso.html</w:t>
      </w:r>
    </w:p>
    <w:p w:rsidR="00E66520" w:rsidRPr="00E66520" w:rsidRDefault="00E66520" w:rsidP="00E66520">
      <w:pPr>
        <w:ind w:firstLine="34"/>
        <w:jc w:val="both"/>
        <w:rPr>
          <w:rFonts w:ascii="Verdana" w:hAnsi="Verdana"/>
          <w:sz w:val="16"/>
          <w:szCs w:val="16"/>
          <w:lang w:val="es-ES"/>
        </w:rPr>
      </w:pPr>
    </w:p>
    <w:p w:rsidR="00E66520" w:rsidRPr="00E66520" w:rsidRDefault="00E66520" w:rsidP="00E66520">
      <w:pPr>
        <w:ind w:firstLine="34"/>
        <w:jc w:val="both"/>
        <w:rPr>
          <w:rFonts w:ascii="Verdana" w:hAnsi="Verdana"/>
          <w:sz w:val="22"/>
          <w:szCs w:val="22"/>
          <w:lang w:val="es-ES"/>
        </w:rPr>
      </w:pPr>
    </w:p>
    <w:p w:rsidR="00E66520" w:rsidRPr="00E66520" w:rsidRDefault="00E66520" w:rsidP="00E66520">
      <w:pPr>
        <w:ind w:firstLine="34"/>
        <w:jc w:val="both"/>
        <w:rPr>
          <w:rFonts w:ascii="Verdana" w:hAnsi="Verdana"/>
          <w:b/>
          <w:sz w:val="22"/>
          <w:szCs w:val="22"/>
        </w:rPr>
      </w:pPr>
      <w:r w:rsidRPr="00E66520">
        <w:rPr>
          <w:rFonts w:ascii="Verdana" w:hAnsi="Verdana"/>
          <w:b/>
          <w:sz w:val="22"/>
          <w:szCs w:val="22"/>
        </w:rPr>
        <w:t xml:space="preserve">5.2. Instrumentos de desarrollo administrativo y construcción de políticas públicas en el combate a la corrupción </w:t>
      </w:r>
    </w:p>
    <w:p w:rsidR="00E66520" w:rsidRPr="00E66520" w:rsidRDefault="00E66520" w:rsidP="00E66520">
      <w:pPr>
        <w:ind w:firstLine="34"/>
        <w:jc w:val="both"/>
        <w:rPr>
          <w:rFonts w:ascii="Verdana" w:hAnsi="Verdana"/>
          <w:sz w:val="22"/>
          <w:szCs w:val="22"/>
        </w:rPr>
      </w:pPr>
    </w:p>
    <w:p w:rsidR="00E66520" w:rsidRPr="00E66520" w:rsidRDefault="00E66520" w:rsidP="00E66520">
      <w:pPr>
        <w:jc w:val="both"/>
        <w:rPr>
          <w:rFonts w:ascii="Verdana" w:hAnsi="Verdana"/>
          <w:sz w:val="22"/>
          <w:szCs w:val="22"/>
        </w:rPr>
      </w:pPr>
      <w:r w:rsidRPr="00E66520">
        <w:rPr>
          <w:rFonts w:ascii="Verdana" w:hAnsi="Verdana"/>
          <w:sz w:val="22"/>
          <w:szCs w:val="22"/>
        </w:rPr>
        <w:t>En el Pacto por México se hicieron las siguientes propuestas que pueden dar una perspectiva el desarrollo administrativo y construcción de políticas públicas para el combate a la corrupción:</w:t>
      </w:r>
    </w:p>
    <w:p w:rsidR="00E66520" w:rsidRPr="00E66520" w:rsidRDefault="00E66520" w:rsidP="00E66520">
      <w:pPr>
        <w:ind w:firstLine="34"/>
        <w:jc w:val="both"/>
        <w:rPr>
          <w:rFonts w:ascii="Verdana" w:hAnsi="Verdana"/>
          <w:sz w:val="22"/>
          <w:szCs w:val="22"/>
        </w:rPr>
      </w:pPr>
    </w:p>
    <w:p w:rsidR="00E66520" w:rsidRPr="00E66520" w:rsidRDefault="00E66520" w:rsidP="00E66520">
      <w:pPr>
        <w:ind w:firstLine="34"/>
        <w:jc w:val="both"/>
        <w:rPr>
          <w:rFonts w:ascii="Verdana" w:hAnsi="Verdana"/>
          <w:sz w:val="22"/>
          <w:szCs w:val="22"/>
        </w:rPr>
      </w:pPr>
      <w:r w:rsidRPr="00E66520">
        <w:rPr>
          <w:rFonts w:ascii="Verdana" w:hAnsi="Verdana"/>
          <w:sz w:val="22"/>
          <w:szCs w:val="22"/>
        </w:rPr>
        <w:t>Apartado 4.1 Se instrumentará la reforma preferente aprobada para perfeccionar el sistema de rendición de cuentas contables en los tres órdenes de gobierno que permitan establecer reglas comunes y mecanismos homologados para garantizar que los ciudadanos tengan acceso a toda la información sobre el gasto público.</w:t>
      </w:r>
    </w:p>
    <w:p w:rsidR="00E66520" w:rsidRPr="00E66520" w:rsidRDefault="00E66520" w:rsidP="00E66520">
      <w:pPr>
        <w:ind w:firstLine="34"/>
        <w:jc w:val="both"/>
        <w:rPr>
          <w:rFonts w:ascii="Verdana" w:hAnsi="Verdana"/>
          <w:sz w:val="22"/>
          <w:szCs w:val="22"/>
        </w:rPr>
      </w:pPr>
    </w:p>
    <w:p w:rsidR="00E66520" w:rsidRPr="00E66520" w:rsidRDefault="00E66520" w:rsidP="00E66520">
      <w:pPr>
        <w:jc w:val="both"/>
        <w:rPr>
          <w:rFonts w:ascii="Verdana" w:hAnsi="Verdana"/>
          <w:sz w:val="22"/>
          <w:szCs w:val="22"/>
        </w:rPr>
      </w:pPr>
      <w:r w:rsidRPr="00E66520">
        <w:rPr>
          <w:rFonts w:ascii="Verdana" w:hAnsi="Verdana"/>
          <w:sz w:val="22"/>
          <w:szCs w:val="22"/>
        </w:rPr>
        <w:t>Apartado 4.3 Se propuso la creación de un Sistema Nacional contra la Corrupción, mediante una reforma constitucional que permita establecer una Comisión Nacional, así como comisiones estatales con facultades de prevención, investigación, sanción  administrativa y denuncia ante las autoridades competentes respecto a los actos de corrupción en la administración pública.</w:t>
      </w:r>
    </w:p>
    <w:p w:rsidR="00E66520" w:rsidRPr="00E66520" w:rsidRDefault="00E66520" w:rsidP="00E66520">
      <w:pPr>
        <w:ind w:firstLine="34"/>
        <w:jc w:val="both"/>
        <w:rPr>
          <w:rFonts w:ascii="Verdana" w:hAnsi="Verdana"/>
          <w:sz w:val="22"/>
          <w:szCs w:val="22"/>
        </w:rPr>
      </w:pPr>
    </w:p>
    <w:p w:rsidR="00E66520" w:rsidRPr="00E66520" w:rsidRDefault="00E66520" w:rsidP="00E66520">
      <w:pPr>
        <w:jc w:val="both"/>
        <w:rPr>
          <w:rFonts w:ascii="Verdana" w:hAnsi="Verdana"/>
          <w:sz w:val="22"/>
          <w:szCs w:val="22"/>
        </w:rPr>
      </w:pPr>
      <w:r w:rsidRPr="00E66520">
        <w:rPr>
          <w:rFonts w:ascii="Verdana" w:hAnsi="Verdana"/>
          <w:sz w:val="22"/>
          <w:szCs w:val="22"/>
        </w:rPr>
        <w:t>El “Decreto por el que se reforman, adicionan y derogan diversas disposiciones de la Ley Orgánica de la Administración Pública Federal” (DOF, 2 de enero de 2013), señala la desaparición de la Secretaría de la Función Pública; no obstante, es importante señalar que, hasta que sea aprobada la creación de un órgano anticorrupción, la Secretaría deberá dar continuidad a las acciones y políticas que ha venido implementando.</w:t>
      </w:r>
    </w:p>
    <w:p w:rsidR="00E66520" w:rsidRPr="00E66520" w:rsidRDefault="00E66520" w:rsidP="00E66520">
      <w:pPr>
        <w:ind w:firstLine="34"/>
        <w:jc w:val="both"/>
        <w:rPr>
          <w:rFonts w:ascii="Verdana" w:hAnsi="Verdana"/>
          <w:sz w:val="22"/>
          <w:szCs w:val="22"/>
        </w:rPr>
      </w:pPr>
    </w:p>
    <w:p w:rsidR="00E66520" w:rsidRPr="00E66520" w:rsidRDefault="00E66520" w:rsidP="00E66520">
      <w:pPr>
        <w:jc w:val="both"/>
        <w:rPr>
          <w:rFonts w:ascii="Verdana" w:hAnsi="Verdana"/>
          <w:sz w:val="22"/>
          <w:szCs w:val="22"/>
        </w:rPr>
      </w:pPr>
      <w:r w:rsidRPr="00E66520">
        <w:rPr>
          <w:rFonts w:ascii="Verdana" w:hAnsi="Verdana"/>
          <w:sz w:val="22"/>
          <w:szCs w:val="22"/>
        </w:rPr>
        <w:t xml:space="preserve">Es importante reconocer, en términos del marco jurídico vigente para la transparencia, la rendición de cuentas, las responsabilidades administrativas y la corrupción que el Estado mexicano ha dado pasos importantes en términos normativos. </w:t>
      </w:r>
    </w:p>
    <w:p w:rsidR="00E66520" w:rsidRPr="00E66520" w:rsidRDefault="00E66520" w:rsidP="00E66520">
      <w:pPr>
        <w:ind w:firstLine="34"/>
        <w:jc w:val="both"/>
        <w:rPr>
          <w:rFonts w:ascii="Verdana" w:hAnsi="Verdana"/>
          <w:sz w:val="22"/>
          <w:szCs w:val="22"/>
        </w:rPr>
      </w:pPr>
    </w:p>
    <w:p w:rsidR="00E66520" w:rsidRPr="00E66520" w:rsidRDefault="00E66520" w:rsidP="00E66520">
      <w:pPr>
        <w:ind w:firstLine="34"/>
        <w:jc w:val="both"/>
        <w:rPr>
          <w:rFonts w:ascii="Verdana" w:hAnsi="Verdana"/>
          <w:sz w:val="22"/>
          <w:szCs w:val="22"/>
        </w:rPr>
      </w:pPr>
    </w:p>
    <w:p w:rsidR="00E66520" w:rsidRPr="00E66520" w:rsidRDefault="00E66520" w:rsidP="00E66520">
      <w:pPr>
        <w:tabs>
          <w:tab w:val="left" w:pos="8835"/>
        </w:tabs>
        <w:ind w:firstLine="34"/>
        <w:jc w:val="both"/>
        <w:rPr>
          <w:rFonts w:ascii="Verdana" w:hAnsi="Verdana"/>
          <w:sz w:val="22"/>
          <w:szCs w:val="22"/>
          <w:lang w:val="es-ES"/>
        </w:rPr>
      </w:pPr>
      <w:r w:rsidRPr="00E66520">
        <w:rPr>
          <w:rFonts w:ascii="Verdana" w:hAnsi="Verdana"/>
          <w:sz w:val="22"/>
          <w:szCs w:val="22"/>
          <w:lang w:val="es-ES"/>
        </w:rPr>
        <w:tab/>
      </w: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r>
        <w:rPr>
          <w:rFonts w:ascii="Verdana" w:hAnsi="Verdana"/>
          <w:b/>
          <w:noProof/>
          <w:sz w:val="22"/>
          <w:szCs w:val="22"/>
          <w:lang w:eastAsia="es-MX"/>
        </w:rPr>
        <w:drawing>
          <wp:anchor distT="0" distB="0" distL="114300" distR="114300" simplePos="0" relativeHeight="251659264" behindDoc="0" locked="0" layoutInCell="1" allowOverlap="1">
            <wp:simplePos x="0" y="0"/>
            <wp:positionH relativeFrom="margin">
              <wp:posOffset>1397635</wp:posOffset>
            </wp:positionH>
            <wp:positionV relativeFrom="margin">
              <wp:posOffset>1384300</wp:posOffset>
            </wp:positionV>
            <wp:extent cx="4293235" cy="2477770"/>
            <wp:effectExtent l="0" t="0" r="0" b="0"/>
            <wp:wrapSquare wrapText="bothSides"/>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235" cy="2477770"/>
                    </a:xfrm>
                    <a:prstGeom prst="rect">
                      <a:avLst/>
                    </a:prstGeom>
                    <a:noFill/>
                  </pic:spPr>
                </pic:pic>
              </a:graphicData>
            </a:graphic>
            <wp14:sizeRelH relativeFrom="page">
              <wp14:pctWidth>0</wp14:pctWidth>
            </wp14:sizeRelH>
            <wp14:sizeRelV relativeFrom="page">
              <wp14:pctHeight>0</wp14:pctHeight>
            </wp14:sizeRelV>
          </wp:anchor>
        </w:drawing>
      </w: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tabs>
          <w:tab w:val="left" w:pos="8835"/>
        </w:tabs>
        <w:ind w:firstLine="34"/>
        <w:jc w:val="both"/>
        <w:rPr>
          <w:rFonts w:ascii="Verdana" w:hAnsi="Verdana"/>
          <w:sz w:val="22"/>
          <w:szCs w:val="22"/>
          <w:lang w:val="es-ES"/>
        </w:rPr>
      </w:pPr>
    </w:p>
    <w:p w:rsidR="00E66520" w:rsidRPr="00E66520" w:rsidRDefault="00E66520" w:rsidP="00E66520">
      <w:pPr>
        <w:ind w:firstLine="34"/>
        <w:jc w:val="center"/>
        <w:rPr>
          <w:rFonts w:ascii="Verdana" w:hAnsi="Verdana"/>
          <w:sz w:val="22"/>
          <w:szCs w:val="22"/>
          <w:lang w:val="es-ES"/>
        </w:rPr>
      </w:pPr>
      <w:r>
        <w:rPr>
          <w:rFonts w:ascii="Verdana" w:hAnsi="Verdana"/>
          <w:noProof/>
          <w:sz w:val="22"/>
          <w:szCs w:val="22"/>
          <w:lang w:eastAsia="es-MX"/>
        </w:rPr>
        <w:drawing>
          <wp:inline distT="0" distB="0" distL="0" distR="0">
            <wp:extent cx="2181225" cy="1781175"/>
            <wp:effectExtent l="0" t="0" r="9525" b="9525"/>
            <wp:docPr id="35" name="Imagen 35" descr="fXVchIJhtiSkKzo-556x313-noP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fXVchIJhtiSkKzo-556x313-noPa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81225" cy="1781175"/>
                    </a:xfrm>
                    <a:prstGeom prst="rect">
                      <a:avLst/>
                    </a:prstGeom>
                    <a:noFill/>
                    <a:ln>
                      <a:noFill/>
                    </a:ln>
                  </pic:spPr>
                </pic:pic>
              </a:graphicData>
            </a:graphic>
          </wp:inline>
        </w:drawing>
      </w:r>
    </w:p>
    <w:p w:rsidR="00E66520" w:rsidRPr="00E66520" w:rsidRDefault="00E66520" w:rsidP="00E66520">
      <w:pPr>
        <w:ind w:firstLine="34"/>
        <w:jc w:val="center"/>
        <w:rPr>
          <w:rFonts w:ascii="Verdana" w:hAnsi="Verdana"/>
          <w:sz w:val="16"/>
          <w:szCs w:val="16"/>
          <w:lang w:val="es-ES"/>
        </w:rPr>
      </w:pPr>
      <w:r w:rsidRPr="00E66520">
        <w:rPr>
          <w:rFonts w:ascii="Verdana" w:hAnsi="Verdana"/>
          <w:sz w:val="16"/>
          <w:szCs w:val="16"/>
          <w:lang w:val="es-ES"/>
        </w:rPr>
        <w:t xml:space="preserve">(2013) [caricatura]. </w:t>
      </w:r>
    </w:p>
    <w:p w:rsidR="00E66520" w:rsidRPr="00E66520" w:rsidRDefault="00E66520" w:rsidP="00E66520">
      <w:pPr>
        <w:ind w:firstLine="34"/>
        <w:jc w:val="center"/>
        <w:rPr>
          <w:rFonts w:ascii="Verdana" w:hAnsi="Verdana"/>
          <w:sz w:val="16"/>
          <w:szCs w:val="16"/>
          <w:lang w:val="es-ES"/>
        </w:rPr>
      </w:pPr>
      <w:r w:rsidRPr="00E66520">
        <w:rPr>
          <w:rFonts w:ascii="Verdana" w:hAnsi="Verdana"/>
          <w:sz w:val="16"/>
          <w:szCs w:val="16"/>
          <w:lang w:val="es-ES"/>
        </w:rPr>
        <w:t>Tomada de: http://bibliotecajvg.blogspot.mx/2013_12_01_archive.html</w:t>
      </w:r>
    </w:p>
    <w:p w:rsidR="00E66520" w:rsidRPr="00E66520" w:rsidRDefault="00E66520" w:rsidP="00E66520">
      <w:pPr>
        <w:ind w:firstLine="34"/>
        <w:jc w:val="center"/>
        <w:rPr>
          <w:rFonts w:ascii="Verdana" w:hAnsi="Verdana"/>
          <w:sz w:val="16"/>
          <w:szCs w:val="16"/>
          <w:lang w:val="es-ES"/>
        </w:rPr>
      </w:pPr>
    </w:p>
    <w:p w:rsidR="00E66520" w:rsidRPr="00E66520" w:rsidRDefault="00E66520" w:rsidP="00E66520">
      <w:pPr>
        <w:tabs>
          <w:tab w:val="left" w:pos="2839"/>
        </w:tabs>
        <w:ind w:firstLine="34"/>
        <w:rPr>
          <w:rFonts w:ascii="Verdana" w:hAnsi="Verdana"/>
          <w:b/>
          <w:sz w:val="22"/>
          <w:szCs w:val="22"/>
          <w:lang w:val="es-ES"/>
        </w:rPr>
      </w:pPr>
    </w:p>
    <w:p w:rsidR="00E66520" w:rsidRPr="00E66520" w:rsidRDefault="00E66520" w:rsidP="00E66520">
      <w:pPr>
        <w:tabs>
          <w:tab w:val="left" w:pos="2839"/>
        </w:tabs>
        <w:ind w:firstLine="34"/>
        <w:jc w:val="both"/>
        <w:rPr>
          <w:rFonts w:ascii="Verdana" w:hAnsi="Verdana"/>
          <w:b/>
          <w:sz w:val="22"/>
          <w:szCs w:val="22"/>
          <w:lang w:val="es-ES"/>
        </w:rPr>
      </w:pPr>
      <w:r w:rsidRPr="00E66520">
        <w:rPr>
          <w:rFonts w:ascii="Verdana" w:hAnsi="Verdana"/>
          <w:b/>
          <w:sz w:val="22"/>
          <w:szCs w:val="22"/>
          <w:lang w:val="es-ES"/>
        </w:rPr>
        <w:t>Videos informativos</w:t>
      </w:r>
    </w:p>
    <w:p w:rsidR="00E66520" w:rsidRPr="00E66520" w:rsidRDefault="00E66520" w:rsidP="00E66520">
      <w:pPr>
        <w:tabs>
          <w:tab w:val="left" w:pos="2839"/>
        </w:tabs>
        <w:ind w:firstLine="34"/>
        <w:jc w:val="both"/>
        <w:rPr>
          <w:rFonts w:ascii="Verdana" w:hAnsi="Verdana"/>
          <w:b/>
          <w:sz w:val="22"/>
          <w:szCs w:val="22"/>
          <w:lang w:val="es-ES"/>
        </w:rPr>
      </w:pPr>
    </w:p>
    <w:p w:rsidR="00E66520" w:rsidRPr="00E66520" w:rsidRDefault="00E66520" w:rsidP="00E66520">
      <w:pPr>
        <w:jc w:val="both"/>
        <w:outlineLvl w:val="0"/>
        <w:rPr>
          <w:rFonts w:ascii="Verdana" w:hAnsi="Verdana" w:cs="Times New Roman"/>
          <w:kern w:val="36"/>
          <w:sz w:val="22"/>
          <w:szCs w:val="22"/>
          <w:lang w:val="es-ES"/>
        </w:rPr>
      </w:pPr>
      <w:r w:rsidRPr="00E66520">
        <w:rPr>
          <w:rFonts w:ascii="Verdana" w:hAnsi="Verdana" w:cs="Times New Roman"/>
          <w:kern w:val="36"/>
          <w:sz w:val="22"/>
          <w:szCs w:val="22"/>
          <w:lang w:val="es-ES"/>
        </w:rPr>
        <w:t xml:space="preserve">CNN. Carmen Aristegui (2012). </w:t>
      </w:r>
      <w:r w:rsidRPr="00E66520">
        <w:rPr>
          <w:rFonts w:ascii="Verdana" w:hAnsi="Verdana" w:cs="Times New Roman"/>
          <w:i/>
          <w:kern w:val="36"/>
          <w:sz w:val="22"/>
          <w:szCs w:val="22"/>
          <w:lang w:val="es-ES"/>
        </w:rPr>
        <w:t>La Comisión Nacional Anticorrupción</w:t>
      </w:r>
      <w:r w:rsidRPr="00E66520">
        <w:rPr>
          <w:rFonts w:ascii="Verdana" w:hAnsi="Verdana" w:cs="Times New Roman"/>
          <w:kern w:val="36"/>
          <w:sz w:val="22"/>
          <w:szCs w:val="22"/>
          <w:lang w:val="es-ES"/>
        </w:rPr>
        <w:t xml:space="preserve"> [archivo de video]. Tomado de:</w:t>
      </w:r>
      <w:r w:rsidRPr="00E66520">
        <w:rPr>
          <w:rFonts w:ascii="Times New Roman" w:hAnsi="Times New Roman" w:cs="Times New Roman"/>
          <w:b/>
          <w:kern w:val="36"/>
          <w:sz w:val="48"/>
          <w:szCs w:val="48"/>
          <w:lang w:val="es-ES"/>
        </w:rPr>
        <w:t xml:space="preserve"> </w:t>
      </w:r>
      <w:hyperlink r:id="rId15" w:history="1">
        <w:r w:rsidRPr="00E66520">
          <w:rPr>
            <w:rFonts w:ascii="Verdana" w:hAnsi="Verdana" w:cs="Times New Roman"/>
            <w:color w:val="0000FF"/>
            <w:kern w:val="36"/>
            <w:sz w:val="22"/>
            <w:szCs w:val="22"/>
            <w:u w:val="single"/>
            <w:lang w:val="es-ES"/>
          </w:rPr>
          <w:t>https://www.youtube.com/watch?v=u1_OfA5tvuQ</w:t>
        </w:r>
      </w:hyperlink>
    </w:p>
    <w:p w:rsidR="00E66520" w:rsidRPr="00E66520" w:rsidRDefault="00E66520" w:rsidP="00E66520">
      <w:pPr>
        <w:jc w:val="both"/>
        <w:outlineLvl w:val="0"/>
        <w:rPr>
          <w:rFonts w:ascii="Verdana" w:hAnsi="Verdana" w:cs="Times New Roman"/>
          <w:kern w:val="36"/>
          <w:sz w:val="22"/>
          <w:szCs w:val="22"/>
          <w:lang w:val="es-ES"/>
        </w:rPr>
      </w:pPr>
      <w:r w:rsidRPr="00E66520">
        <w:rPr>
          <w:rFonts w:ascii="Verdana" w:hAnsi="Verdana" w:cs="Times New Roman"/>
          <w:kern w:val="36"/>
          <w:sz w:val="22"/>
          <w:szCs w:val="22"/>
          <w:lang w:val="es-ES"/>
        </w:rPr>
        <w:t xml:space="preserve"> </w:t>
      </w:r>
    </w:p>
    <w:p w:rsidR="00E66520" w:rsidRPr="00E66520" w:rsidRDefault="00E66520" w:rsidP="00E66520">
      <w:pPr>
        <w:tabs>
          <w:tab w:val="left" w:pos="2839"/>
        </w:tabs>
        <w:ind w:firstLine="34"/>
        <w:jc w:val="both"/>
        <w:rPr>
          <w:rFonts w:ascii="Verdana" w:hAnsi="Verdana"/>
          <w:sz w:val="22"/>
          <w:szCs w:val="22"/>
          <w:lang w:val="es-ES"/>
        </w:rPr>
      </w:pPr>
      <w:r w:rsidRPr="00E66520">
        <w:rPr>
          <w:rFonts w:ascii="Verdana" w:hAnsi="Verdana"/>
          <w:sz w:val="22"/>
          <w:szCs w:val="22"/>
          <w:lang w:val="es-ES"/>
        </w:rPr>
        <w:t xml:space="preserve">Azteca Opinión (2012). Comisión Nacional Anticorrupción [archivo de video]. Tomado de: </w:t>
      </w:r>
      <w:hyperlink r:id="rId16" w:history="1">
        <w:r w:rsidRPr="00E66520">
          <w:rPr>
            <w:rFonts w:ascii="Verdana" w:hAnsi="Verdana"/>
            <w:color w:val="0000FF"/>
            <w:sz w:val="22"/>
            <w:szCs w:val="22"/>
            <w:u w:val="single"/>
            <w:lang w:val="es-ES"/>
          </w:rPr>
          <w:t>https://www.youtube.com/wa</w:t>
        </w:r>
        <w:r w:rsidRPr="00E66520">
          <w:rPr>
            <w:rFonts w:ascii="Verdana" w:hAnsi="Verdana"/>
            <w:color w:val="0000FF"/>
            <w:sz w:val="22"/>
            <w:szCs w:val="22"/>
            <w:u w:val="single"/>
            <w:lang w:val="es-ES"/>
          </w:rPr>
          <w:t>tch?v=rqe6UCooL7U</w:t>
        </w:r>
      </w:hyperlink>
    </w:p>
    <w:p w:rsidR="00E66520" w:rsidRPr="00E66520" w:rsidRDefault="00E66520" w:rsidP="00E66520">
      <w:pPr>
        <w:tabs>
          <w:tab w:val="left" w:pos="2839"/>
        </w:tabs>
        <w:ind w:firstLine="34"/>
        <w:jc w:val="both"/>
        <w:rPr>
          <w:rFonts w:ascii="Verdana" w:hAnsi="Verdana"/>
          <w:sz w:val="22"/>
          <w:szCs w:val="22"/>
          <w:lang w:val="es-ES"/>
        </w:rPr>
      </w:pPr>
    </w:p>
    <w:p w:rsidR="00E66520" w:rsidRPr="00E66520" w:rsidRDefault="00E66520" w:rsidP="00E66520">
      <w:pPr>
        <w:tabs>
          <w:tab w:val="left" w:pos="2839"/>
        </w:tabs>
        <w:ind w:firstLine="34"/>
        <w:jc w:val="both"/>
        <w:rPr>
          <w:rFonts w:ascii="Verdana" w:hAnsi="Verdana"/>
          <w:sz w:val="22"/>
          <w:szCs w:val="22"/>
          <w:lang w:val="es-ES"/>
        </w:rPr>
      </w:pPr>
    </w:p>
    <w:p w:rsidR="00E66520" w:rsidRPr="00E66520" w:rsidRDefault="00E66520" w:rsidP="00E66520">
      <w:pPr>
        <w:tabs>
          <w:tab w:val="left" w:pos="2839"/>
        </w:tabs>
        <w:ind w:firstLine="34"/>
        <w:rPr>
          <w:rFonts w:ascii="Verdana" w:hAnsi="Verdana"/>
          <w:b/>
          <w:sz w:val="22"/>
          <w:szCs w:val="22"/>
          <w:lang w:val="es-ES"/>
        </w:rPr>
      </w:pPr>
      <w:r w:rsidRPr="00E66520">
        <w:rPr>
          <w:rFonts w:ascii="Verdana" w:hAnsi="Verdana"/>
          <w:b/>
          <w:sz w:val="22"/>
          <w:szCs w:val="22"/>
          <w:lang w:val="es-ES"/>
        </w:rPr>
        <w:t xml:space="preserve">Resumen </w:t>
      </w:r>
      <w:r w:rsidRPr="00E66520">
        <w:rPr>
          <w:rFonts w:ascii="Verdana" w:hAnsi="Verdana"/>
          <w:b/>
          <w:sz w:val="22"/>
          <w:szCs w:val="22"/>
          <w:lang w:val="es-ES"/>
        </w:rPr>
        <w:tab/>
      </w:r>
    </w:p>
    <w:p w:rsidR="00E66520" w:rsidRPr="00E66520" w:rsidRDefault="00E66520" w:rsidP="00E66520">
      <w:pPr>
        <w:tabs>
          <w:tab w:val="left" w:pos="2839"/>
        </w:tabs>
        <w:ind w:firstLine="34"/>
        <w:rPr>
          <w:rFonts w:ascii="Verdana" w:hAnsi="Verdana"/>
          <w:b/>
          <w:sz w:val="22"/>
          <w:szCs w:val="22"/>
          <w:lang w:val="es-ES"/>
        </w:rPr>
      </w:pPr>
    </w:p>
    <w:p w:rsidR="00E66520" w:rsidRPr="00E66520" w:rsidRDefault="00E66520" w:rsidP="00E66520">
      <w:pPr>
        <w:tabs>
          <w:tab w:val="left" w:pos="2839"/>
        </w:tabs>
        <w:jc w:val="both"/>
        <w:rPr>
          <w:rFonts w:ascii="Verdana" w:hAnsi="Verdana"/>
          <w:sz w:val="22"/>
          <w:szCs w:val="22"/>
          <w:lang w:val="es-ES"/>
        </w:rPr>
      </w:pPr>
      <w:r w:rsidRPr="00E66520">
        <w:rPr>
          <w:rFonts w:ascii="Verdana" w:hAnsi="Verdana"/>
          <w:sz w:val="22"/>
          <w:szCs w:val="22"/>
          <w:lang w:val="es-ES"/>
        </w:rPr>
        <w:t>El poder ejecutivo ha desarrollado las funciones de control administrativo interno a través de la Secretaría de Hacienda y Crédito Público (en la esfera financiera) y la Secretaría de la Función Pública</w:t>
      </w:r>
      <w:r w:rsidRPr="00E66520">
        <w:rPr>
          <w:rFonts w:ascii="Verdana" w:hAnsi="Verdana"/>
          <w:sz w:val="22"/>
          <w:szCs w:val="22"/>
          <w:vertAlign w:val="superscript"/>
          <w:lang w:val="es-ES"/>
        </w:rPr>
        <w:endnoteReference w:id="1"/>
      </w:r>
      <w:r w:rsidRPr="00E66520">
        <w:rPr>
          <w:rFonts w:ascii="Verdana" w:hAnsi="Verdana"/>
          <w:sz w:val="22"/>
          <w:szCs w:val="22"/>
          <w:lang w:val="es-ES"/>
        </w:rPr>
        <w:t xml:space="preserve"> (en aspectos administrativos). En el combate a la corrupción se han establecido bases de coordinación entre los poderes mediante el Sistema Nacional de Fiscalización.  De igual manera, se han propuesto iniciativas de ley orientadas a sancionar, tanto a servidores públicos como a proveedores de gobierno. </w:t>
      </w:r>
    </w:p>
    <w:p w:rsidR="00E66520" w:rsidRPr="00E66520" w:rsidRDefault="00E66520" w:rsidP="00E66520">
      <w:pPr>
        <w:jc w:val="both"/>
        <w:rPr>
          <w:rFonts w:ascii="Verdana" w:hAnsi="Verdana"/>
          <w:sz w:val="22"/>
          <w:szCs w:val="22"/>
          <w:lang w:val="es-ES"/>
        </w:rPr>
      </w:pPr>
    </w:p>
    <w:p w:rsidR="00197717" w:rsidRPr="00E66520" w:rsidRDefault="00197717" w:rsidP="00E66520">
      <w:pPr>
        <w:rPr>
          <w:lang w:val="es-ES"/>
        </w:rPr>
      </w:pPr>
      <w:bookmarkStart w:id="2" w:name="_GoBack"/>
      <w:bookmarkEnd w:id="2"/>
    </w:p>
    <w:sectPr w:rsidR="00197717" w:rsidRPr="00E66520">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TELECOM" w:date="2014-10-08T13:02:00Z" w:initials="T">
    <w:p w:rsidR="00E66520" w:rsidRDefault="00E66520" w:rsidP="00E66520">
      <w:pPr>
        <w:pStyle w:val="Textocomentario"/>
      </w:pPr>
      <w:r>
        <w:rPr>
          <w:rStyle w:val="Refdecomentario"/>
        </w:rPr>
        <w:annotationRef/>
      </w:r>
      <w:r>
        <w:t>De conformarse que el Sistema Nacional de Fiscalización sustituye al Sistema Nacional de Control se queda esta redacción.</w:t>
      </w:r>
    </w:p>
  </w:comment>
  <w:comment w:id="1" w:author="TELECOM" w:date="2014-10-08T13:02:00Z" w:initials="T">
    <w:p w:rsidR="00E66520" w:rsidRDefault="00E66520" w:rsidP="00E66520">
      <w:pPr>
        <w:pStyle w:val="Textocomentario"/>
      </w:pPr>
      <w:r>
        <w:rPr>
          <w:rStyle w:val="Refdecomentario"/>
        </w:rPr>
        <w:annotationRef/>
      </w:r>
      <w:r>
        <w:t>Los datos disponibles del Sistema Federal de Control son de 2001, lo más reciente fue la creación del Sistema Nacional de Fiscalización.</w:t>
      </w:r>
    </w:p>
    <w:p w:rsidR="00E66520" w:rsidRDefault="00E66520" w:rsidP="00E66520">
      <w:pPr>
        <w:pStyle w:val="Textocomentario"/>
      </w:pPr>
      <w:r>
        <w:t>Una duda es saber si tienen relación directa</w:t>
      </w:r>
    </w:p>
    <w:p w:rsidR="00E66520" w:rsidRDefault="00E66520" w:rsidP="00E66520">
      <w:pPr>
        <w:pStyle w:val="Textocomentario"/>
      </w:pPr>
      <w:r>
        <w:t xml:space="preserve">Son lo mismo?  </w:t>
      </w:r>
    </w:p>
    <w:p w:rsidR="00E66520" w:rsidRDefault="00E66520" w:rsidP="00E66520">
      <w:pPr>
        <w:pStyle w:val="Textocomentario"/>
      </w:pPr>
    </w:p>
    <w:p w:rsidR="00E66520" w:rsidRDefault="00E66520" w:rsidP="00E66520">
      <w:pPr>
        <w:pStyle w:val="Textocomentario"/>
      </w:pPr>
      <w:hyperlink r:id="rId1" w:history="1">
        <w:r w:rsidRPr="00073D0D">
          <w:rPr>
            <w:rStyle w:val="Hipervnculo"/>
          </w:rPr>
          <w:t>http://www.asf.gob.mx/Section/117_Sistema_Nacional_de_Fiscalizacion</w:t>
        </w:r>
      </w:hyperlink>
    </w:p>
    <w:p w:rsidR="00E66520" w:rsidRDefault="00E66520" w:rsidP="00E66520">
      <w:pPr>
        <w:pStyle w:val="Textocomentario"/>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717" w:rsidRDefault="00197717" w:rsidP="00197717">
      <w:r>
        <w:separator/>
      </w:r>
    </w:p>
  </w:endnote>
  <w:endnote w:type="continuationSeparator" w:id="0">
    <w:p w:rsidR="00197717" w:rsidRDefault="00197717" w:rsidP="00197717">
      <w:r>
        <w:continuationSeparator/>
      </w:r>
    </w:p>
  </w:endnote>
  <w:endnote w:id="1">
    <w:p w:rsidR="00E66520" w:rsidRDefault="00E66520" w:rsidP="00E66520">
      <w:pPr>
        <w:pStyle w:val="Textonotaalfinal"/>
      </w:pPr>
      <w:r>
        <w:rPr>
          <w:rStyle w:val="Refdenotaalfinal"/>
        </w:rPr>
        <w:endnoteRef/>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717" w:rsidRDefault="00197717" w:rsidP="00197717">
      <w:r>
        <w:separator/>
      </w:r>
    </w:p>
  </w:footnote>
  <w:footnote w:type="continuationSeparator" w:id="0">
    <w:p w:rsidR="00197717" w:rsidRDefault="00197717" w:rsidP="001977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03914"/>
    <w:multiLevelType w:val="hybridMultilevel"/>
    <w:tmpl w:val="C532B60A"/>
    <w:lvl w:ilvl="0" w:tplc="0C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192080F"/>
    <w:multiLevelType w:val="hybridMultilevel"/>
    <w:tmpl w:val="C69624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549344D1"/>
    <w:multiLevelType w:val="hybridMultilevel"/>
    <w:tmpl w:val="82BC056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F67"/>
    <w:rsid w:val="00197717"/>
    <w:rsid w:val="003E4F67"/>
    <w:rsid w:val="0095439C"/>
    <w:rsid w:val="009F289F"/>
    <w:rsid w:val="00D022C7"/>
    <w:rsid w:val="00E6652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F67"/>
    <w:pPr>
      <w:spacing w:after="0" w:line="240" w:lineRule="auto"/>
    </w:pPr>
    <w:rPr>
      <w:rFonts w:ascii="Arial" w:eastAsia="Times New Roman" w:hAnsi="Arial" w:cs="Arial"/>
      <w:bCs/>
      <w:sz w:val="24"/>
      <w:szCs w:val="24"/>
      <w:lang w:eastAsia="es-ES"/>
    </w:rPr>
  </w:style>
  <w:style w:type="paragraph" w:styleId="Ttulo1">
    <w:name w:val="heading 1"/>
    <w:basedOn w:val="Normal"/>
    <w:link w:val="Ttulo1Car"/>
    <w:uiPriority w:val="9"/>
    <w:qFormat/>
    <w:rsid w:val="003E4F67"/>
    <w:pPr>
      <w:spacing w:before="100" w:beforeAutospacing="1" w:after="100" w:afterAutospacing="1"/>
      <w:outlineLvl w:val="0"/>
    </w:pPr>
    <w:rPr>
      <w:rFonts w:ascii="Times New Roman" w:hAnsi="Times New Roman" w:cs="Times New Roman"/>
      <w:b/>
      <w:kern w:val="36"/>
      <w:sz w:val="48"/>
      <w:szCs w:val="4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4F67"/>
    <w:rPr>
      <w:rFonts w:ascii="Times New Roman" w:eastAsia="Times New Roman" w:hAnsi="Times New Roman" w:cs="Times New Roman"/>
      <w:b/>
      <w:bCs/>
      <w:kern w:val="36"/>
      <w:sz w:val="48"/>
      <w:szCs w:val="48"/>
      <w:lang w:val="es-ES" w:eastAsia="es-ES"/>
    </w:rPr>
  </w:style>
  <w:style w:type="character" w:styleId="Refdecomentario">
    <w:name w:val="annotation reference"/>
    <w:uiPriority w:val="99"/>
    <w:unhideWhenUsed/>
    <w:rsid w:val="003E4F67"/>
    <w:rPr>
      <w:sz w:val="16"/>
      <w:szCs w:val="16"/>
    </w:rPr>
  </w:style>
  <w:style w:type="paragraph" w:styleId="Textocomentario">
    <w:name w:val="annotation text"/>
    <w:basedOn w:val="Normal"/>
    <w:link w:val="TextocomentarioCar"/>
    <w:uiPriority w:val="99"/>
    <w:unhideWhenUsed/>
    <w:rsid w:val="003E4F67"/>
    <w:rPr>
      <w:rFonts w:ascii="Times New Roman" w:hAnsi="Times New Roman" w:cs="Times New Roman"/>
      <w:bCs w:val="0"/>
      <w:sz w:val="20"/>
      <w:szCs w:val="20"/>
      <w:lang w:val="es-ES"/>
    </w:rPr>
  </w:style>
  <w:style w:type="character" w:customStyle="1" w:styleId="TextocomentarioCar">
    <w:name w:val="Texto comentario Car"/>
    <w:basedOn w:val="Fuentedeprrafopredeter"/>
    <w:link w:val="Textocomentario"/>
    <w:uiPriority w:val="99"/>
    <w:rsid w:val="003E4F67"/>
    <w:rPr>
      <w:rFonts w:ascii="Times New Roman" w:eastAsia="Times New Roman" w:hAnsi="Times New Roman" w:cs="Times New Roman"/>
      <w:sz w:val="20"/>
      <w:szCs w:val="20"/>
      <w:lang w:val="es-ES" w:eastAsia="es-ES"/>
    </w:rPr>
  </w:style>
  <w:style w:type="character" w:styleId="Hipervnculo">
    <w:name w:val="Hyperlink"/>
    <w:rsid w:val="003E4F67"/>
    <w:rPr>
      <w:color w:val="0000FF"/>
      <w:u w:val="single"/>
    </w:rPr>
  </w:style>
  <w:style w:type="character" w:customStyle="1" w:styleId="watch-title">
    <w:name w:val="watch-title"/>
    <w:rsid w:val="003E4F67"/>
  </w:style>
  <w:style w:type="paragraph" w:styleId="Textodeglobo">
    <w:name w:val="Balloon Text"/>
    <w:basedOn w:val="Normal"/>
    <w:link w:val="TextodegloboCar"/>
    <w:uiPriority w:val="99"/>
    <w:semiHidden/>
    <w:unhideWhenUsed/>
    <w:rsid w:val="003E4F67"/>
    <w:rPr>
      <w:rFonts w:ascii="Tahoma" w:hAnsi="Tahoma" w:cs="Tahoma"/>
      <w:sz w:val="16"/>
      <w:szCs w:val="16"/>
    </w:rPr>
  </w:style>
  <w:style w:type="character" w:customStyle="1" w:styleId="TextodegloboCar">
    <w:name w:val="Texto de globo Car"/>
    <w:basedOn w:val="Fuentedeprrafopredeter"/>
    <w:link w:val="Textodeglobo"/>
    <w:uiPriority w:val="99"/>
    <w:semiHidden/>
    <w:rsid w:val="003E4F67"/>
    <w:rPr>
      <w:rFonts w:ascii="Tahoma" w:eastAsia="Times New Roman" w:hAnsi="Tahoma" w:cs="Tahoma"/>
      <w:bCs/>
      <w:sz w:val="16"/>
      <w:szCs w:val="16"/>
      <w:lang w:eastAsia="es-ES"/>
    </w:rPr>
  </w:style>
  <w:style w:type="paragraph" w:styleId="NormalWeb">
    <w:name w:val="Normal (Web)"/>
    <w:basedOn w:val="Normal"/>
    <w:uiPriority w:val="99"/>
    <w:semiHidden/>
    <w:unhideWhenUsed/>
    <w:rsid w:val="00197717"/>
    <w:rPr>
      <w:rFonts w:ascii="Times New Roman" w:hAnsi="Times New Roman" w:cs="Times New Roman"/>
    </w:rPr>
  </w:style>
  <w:style w:type="paragraph" w:styleId="Textonotapie">
    <w:name w:val="footnote text"/>
    <w:basedOn w:val="Normal"/>
    <w:link w:val="TextonotapieCar"/>
    <w:rsid w:val="00197717"/>
    <w:rPr>
      <w:sz w:val="20"/>
      <w:szCs w:val="20"/>
    </w:rPr>
  </w:style>
  <w:style w:type="character" w:customStyle="1" w:styleId="TextonotapieCar">
    <w:name w:val="Texto nota pie Car"/>
    <w:basedOn w:val="Fuentedeprrafopredeter"/>
    <w:link w:val="Textonotapie"/>
    <w:rsid w:val="00197717"/>
    <w:rPr>
      <w:rFonts w:ascii="Arial" w:eastAsia="Times New Roman" w:hAnsi="Arial" w:cs="Arial"/>
      <w:bCs/>
      <w:sz w:val="20"/>
      <w:szCs w:val="20"/>
      <w:lang w:eastAsia="es-ES"/>
    </w:rPr>
  </w:style>
  <w:style w:type="character" w:styleId="Refdenotaalpie">
    <w:name w:val="footnote reference"/>
    <w:rsid w:val="00197717"/>
    <w:rPr>
      <w:vertAlign w:val="superscript"/>
    </w:rPr>
  </w:style>
  <w:style w:type="paragraph" w:styleId="Textonotaalfinal">
    <w:name w:val="endnote text"/>
    <w:basedOn w:val="Normal"/>
    <w:link w:val="TextonotaalfinalCar"/>
    <w:rsid w:val="00E66520"/>
    <w:rPr>
      <w:sz w:val="20"/>
      <w:szCs w:val="20"/>
    </w:rPr>
  </w:style>
  <w:style w:type="character" w:customStyle="1" w:styleId="TextonotaalfinalCar">
    <w:name w:val="Texto nota al final Car"/>
    <w:basedOn w:val="Fuentedeprrafopredeter"/>
    <w:link w:val="Textonotaalfinal"/>
    <w:rsid w:val="00E66520"/>
    <w:rPr>
      <w:rFonts w:ascii="Arial" w:eastAsia="Times New Roman" w:hAnsi="Arial" w:cs="Arial"/>
      <w:bCs/>
      <w:sz w:val="20"/>
      <w:szCs w:val="20"/>
      <w:lang w:eastAsia="es-ES"/>
    </w:rPr>
  </w:style>
  <w:style w:type="character" w:styleId="Refdenotaalfinal">
    <w:name w:val="endnote reference"/>
    <w:rsid w:val="00E6652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F67"/>
    <w:pPr>
      <w:spacing w:after="0" w:line="240" w:lineRule="auto"/>
    </w:pPr>
    <w:rPr>
      <w:rFonts w:ascii="Arial" w:eastAsia="Times New Roman" w:hAnsi="Arial" w:cs="Arial"/>
      <w:bCs/>
      <w:sz w:val="24"/>
      <w:szCs w:val="24"/>
      <w:lang w:eastAsia="es-ES"/>
    </w:rPr>
  </w:style>
  <w:style w:type="paragraph" w:styleId="Ttulo1">
    <w:name w:val="heading 1"/>
    <w:basedOn w:val="Normal"/>
    <w:link w:val="Ttulo1Car"/>
    <w:uiPriority w:val="9"/>
    <w:qFormat/>
    <w:rsid w:val="003E4F67"/>
    <w:pPr>
      <w:spacing w:before="100" w:beforeAutospacing="1" w:after="100" w:afterAutospacing="1"/>
      <w:outlineLvl w:val="0"/>
    </w:pPr>
    <w:rPr>
      <w:rFonts w:ascii="Times New Roman" w:hAnsi="Times New Roman" w:cs="Times New Roman"/>
      <w:b/>
      <w:kern w:val="36"/>
      <w:sz w:val="48"/>
      <w:szCs w:val="4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4F67"/>
    <w:rPr>
      <w:rFonts w:ascii="Times New Roman" w:eastAsia="Times New Roman" w:hAnsi="Times New Roman" w:cs="Times New Roman"/>
      <w:b/>
      <w:bCs/>
      <w:kern w:val="36"/>
      <w:sz w:val="48"/>
      <w:szCs w:val="48"/>
      <w:lang w:val="es-ES" w:eastAsia="es-ES"/>
    </w:rPr>
  </w:style>
  <w:style w:type="character" w:styleId="Refdecomentario">
    <w:name w:val="annotation reference"/>
    <w:uiPriority w:val="99"/>
    <w:unhideWhenUsed/>
    <w:rsid w:val="003E4F67"/>
    <w:rPr>
      <w:sz w:val="16"/>
      <w:szCs w:val="16"/>
    </w:rPr>
  </w:style>
  <w:style w:type="paragraph" w:styleId="Textocomentario">
    <w:name w:val="annotation text"/>
    <w:basedOn w:val="Normal"/>
    <w:link w:val="TextocomentarioCar"/>
    <w:uiPriority w:val="99"/>
    <w:unhideWhenUsed/>
    <w:rsid w:val="003E4F67"/>
    <w:rPr>
      <w:rFonts w:ascii="Times New Roman" w:hAnsi="Times New Roman" w:cs="Times New Roman"/>
      <w:bCs w:val="0"/>
      <w:sz w:val="20"/>
      <w:szCs w:val="20"/>
      <w:lang w:val="es-ES"/>
    </w:rPr>
  </w:style>
  <w:style w:type="character" w:customStyle="1" w:styleId="TextocomentarioCar">
    <w:name w:val="Texto comentario Car"/>
    <w:basedOn w:val="Fuentedeprrafopredeter"/>
    <w:link w:val="Textocomentario"/>
    <w:uiPriority w:val="99"/>
    <w:rsid w:val="003E4F67"/>
    <w:rPr>
      <w:rFonts w:ascii="Times New Roman" w:eastAsia="Times New Roman" w:hAnsi="Times New Roman" w:cs="Times New Roman"/>
      <w:sz w:val="20"/>
      <w:szCs w:val="20"/>
      <w:lang w:val="es-ES" w:eastAsia="es-ES"/>
    </w:rPr>
  </w:style>
  <w:style w:type="character" w:styleId="Hipervnculo">
    <w:name w:val="Hyperlink"/>
    <w:rsid w:val="003E4F67"/>
    <w:rPr>
      <w:color w:val="0000FF"/>
      <w:u w:val="single"/>
    </w:rPr>
  </w:style>
  <w:style w:type="character" w:customStyle="1" w:styleId="watch-title">
    <w:name w:val="watch-title"/>
    <w:rsid w:val="003E4F67"/>
  </w:style>
  <w:style w:type="paragraph" w:styleId="Textodeglobo">
    <w:name w:val="Balloon Text"/>
    <w:basedOn w:val="Normal"/>
    <w:link w:val="TextodegloboCar"/>
    <w:uiPriority w:val="99"/>
    <w:semiHidden/>
    <w:unhideWhenUsed/>
    <w:rsid w:val="003E4F67"/>
    <w:rPr>
      <w:rFonts w:ascii="Tahoma" w:hAnsi="Tahoma" w:cs="Tahoma"/>
      <w:sz w:val="16"/>
      <w:szCs w:val="16"/>
    </w:rPr>
  </w:style>
  <w:style w:type="character" w:customStyle="1" w:styleId="TextodegloboCar">
    <w:name w:val="Texto de globo Car"/>
    <w:basedOn w:val="Fuentedeprrafopredeter"/>
    <w:link w:val="Textodeglobo"/>
    <w:uiPriority w:val="99"/>
    <w:semiHidden/>
    <w:rsid w:val="003E4F67"/>
    <w:rPr>
      <w:rFonts w:ascii="Tahoma" w:eastAsia="Times New Roman" w:hAnsi="Tahoma" w:cs="Tahoma"/>
      <w:bCs/>
      <w:sz w:val="16"/>
      <w:szCs w:val="16"/>
      <w:lang w:eastAsia="es-ES"/>
    </w:rPr>
  </w:style>
  <w:style w:type="paragraph" w:styleId="NormalWeb">
    <w:name w:val="Normal (Web)"/>
    <w:basedOn w:val="Normal"/>
    <w:uiPriority w:val="99"/>
    <w:semiHidden/>
    <w:unhideWhenUsed/>
    <w:rsid w:val="00197717"/>
    <w:rPr>
      <w:rFonts w:ascii="Times New Roman" w:hAnsi="Times New Roman" w:cs="Times New Roman"/>
    </w:rPr>
  </w:style>
  <w:style w:type="paragraph" w:styleId="Textonotapie">
    <w:name w:val="footnote text"/>
    <w:basedOn w:val="Normal"/>
    <w:link w:val="TextonotapieCar"/>
    <w:rsid w:val="00197717"/>
    <w:rPr>
      <w:sz w:val="20"/>
      <w:szCs w:val="20"/>
    </w:rPr>
  </w:style>
  <w:style w:type="character" w:customStyle="1" w:styleId="TextonotapieCar">
    <w:name w:val="Texto nota pie Car"/>
    <w:basedOn w:val="Fuentedeprrafopredeter"/>
    <w:link w:val="Textonotapie"/>
    <w:rsid w:val="00197717"/>
    <w:rPr>
      <w:rFonts w:ascii="Arial" w:eastAsia="Times New Roman" w:hAnsi="Arial" w:cs="Arial"/>
      <w:bCs/>
      <w:sz w:val="20"/>
      <w:szCs w:val="20"/>
      <w:lang w:eastAsia="es-ES"/>
    </w:rPr>
  </w:style>
  <w:style w:type="character" w:styleId="Refdenotaalpie">
    <w:name w:val="footnote reference"/>
    <w:rsid w:val="00197717"/>
    <w:rPr>
      <w:vertAlign w:val="superscript"/>
    </w:rPr>
  </w:style>
  <w:style w:type="paragraph" w:styleId="Textonotaalfinal">
    <w:name w:val="endnote text"/>
    <w:basedOn w:val="Normal"/>
    <w:link w:val="TextonotaalfinalCar"/>
    <w:rsid w:val="00E66520"/>
    <w:rPr>
      <w:sz w:val="20"/>
      <w:szCs w:val="20"/>
    </w:rPr>
  </w:style>
  <w:style w:type="character" w:customStyle="1" w:styleId="TextonotaalfinalCar">
    <w:name w:val="Texto nota al final Car"/>
    <w:basedOn w:val="Fuentedeprrafopredeter"/>
    <w:link w:val="Textonotaalfinal"/>
    <w:rsid w:val="00E66520"/>
    <w:rPr>
      <w:rFonts w:ascii="Arial" w:eastAsia="Times New Roman" w:hAnsi="Arial" w:cs="Arial"/>
      <w:bCs/>
      <w:sz w:val="20"/>
      <w:szCs w:val="20"/>
      <w:lang w:eastAsia="es-ES"/>
    </w:rPr>
  </w:style>
  <w:style w:type="character" w:styleId="Refdenotaalfinal">
    <w:name w:val="endnote reference"/>
    <w:rsid w:val="00E665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asf.gob.mx/Section/117_Sistema_Nacional_de_Fiscalizacion"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5.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youtube.com/watch?v=rqe6UCooL7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www.youtube.com/watch?v=u1_OfA5tvuQ"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1242</Words>
  <Characters>6836</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Yadira</dc:creator>
  <cp:lastModifiedBy>Yadira</cp:lastModifiedBy>
  <cp:revision>2</cp:revision>
  <dcterms:created xsi:type="dcterms:W3CDTF">2014-10-08T18:02:00Z</dcterms:created>
  <dcterms:modified xsi:type="dcterms:W3CDTF">2014-10-08T18:02:00Z</dcterms:modified>
</cp:coreProperties>
</file>